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5D9F1" w14:textId="09880396" w:rsidR="00611A67" w:rsidRPr="006E1430" w:rsidRDefault="00611A67" w:rsidP="00611A67">
      <w:pPr>
        <w:pStyle w:val="Heading2"/>
        <w:rPr>
          <w:sz w:val="24"/>
        </w:rPr>
      </w:pPr>
      <w:r w:rsidRPr="006E1430">
        <w:rPr>
          <w:sz w:val="24"/>
        </w:rPr>
        <w:t>Toolkit #</w:t>
      </w:r>
      <w:r w:rsidR="00290AB2" w:rsidRPr="006E1430">
        <w:rPr>
          <w:sz w:val="24"/>
        </w:rPr>
        <w:t>2</w:t>
      </w:r>
      <w:r w:rsidRPr="006E1430">
        <w:rPr>
          <w:sz w:val="24"/>
        </w:rPr>
        <w:t xml:space="preserve"> BACKGROUNDER</w:t>
      </w:r>
      <w:r w:rsidR="003F58A3" w:rsidRPr="006E1430">
        <w:rPr>
          <w:sz w:val="24"/>
        </w:rPr>
        <w:t xml:space="preserve"> - </w:t>
      </w:r>
      <w:r w:rsidRPr="006E1430">
        <w:rPr>
          <w:sz w:val="24"/>
        </w:rPr>
        <w:t>ONTARIO ELECTRICITY SUPPORT PROGRAM</w:t>
      </w:r>
      <w:r w:rsidR="00F745EB" w:rsidRPr="006E1430">
        <w:rPr>
          <w:sz w:val="24"/>
        </w:rPr>
        <w:t xml:space="preserve"> (OESP)</w:t>
      </w:r>
    </w:p>
    <w:p w14:paraId="26E7910F" w14:textId="03D7B3F8" w:rsidR="00471BC7" w:rsidRDefault="00381D5E" w:rsidP="000901C3">
      <w:pPr>
        <w:pStyle w:val="Heading3"/>
        <w:spacing w:line="240" w:lineRule="auto"/>
        <w:rPr>
          <w:rFonts w:cs="Arial"/>
          <w:b w:val="0"/>
          <w:color w:val="auto"/>
          <w:sz w:val="24"/>
        </w:rPr>
      </w:pPr>
      <w:r w:rsidRPr="006E1430">
        <w:rPr>
          <w:rFonts w:cs="Arial"/>
          <w:sz w:val="24"/>
        </w:rPr>
        <w:t>What is the Ontario Electricity Support Program?</w:t>
      </w:r>
      <w:r w:rsidR="006B7685" w:rsidRPr="006E1430">
        <w:rPr>
          <w:rFonts w:cs="Arial"/>
          <w:sz w:val="24"/>
        </w:rPr>
        <w:t xml:space="preserve"> </w:t>
      </w:r>
      <w:r w:rsidR="006666AC" w:rsidRPr="006E1430">
        <w:rPr>
          <w:rFonts w:cs="Arial"/>
          <w:sz w:val="24"/>
        </w:rPr>
        <w:br/>
      </w:r>
      <w:r w:rsidRPr="006E1430">
        <w:rPr>
          <w:rFonts w:cs="Arial"/>
          <w:b w:val="0"/>
          <w:color w:val="auto"/>
          <w:sz w:val="24"/>
        </w:rPr>
        <w:t xml:space="preserve">The OESP is an Ontario Energy Board program that lowers electricity bills for </w:t>
      </w:r>
      <w:r w:rsidR="003E5370">
        <w:rPr>
          <w:rFonts w:cs="Arial"/>
          <w:b w:val="0"/>
          <w:color w:val="auto"/>
          <w:sz w:val="24"/>
        </w:rPr>
        <w:t xml:space="preserve">eligible </w:t>
      </w:r>
      <w:r w:rsidRPr="006E1430">
        <w:rPr>
          <w:rFonts w:cs="Arial"/>
          <w:b w:val="0"/>
          <w:color w:val="auto"/>
          <w:sz w:val="24"/>
        </w:rPr>
        <w:t>low</w:t>
      </w:r>
      <w:r w:rsidR="008547F2">
        <w:rPr>
          <w:rFonts w:cs="Arial"/>
          <w:b w:val="0"/>
          <w:color w:val="auto"/>
          <w:sz w:val="24"/>
        </w:rPr>
        <w:t>er</w:t>
      </w:r>
      <w:r w:rsidRPr="006E1430">
        <w:rPr>
          <w:rFonts w:cs="Arial"/>
          <w:b w:val="0"/>
          <w:color w:val="auto"/>
          <w:sz w:val="24"/>
        </w:rPr>
        <w:t>-income households.</w:t>
      </w:r>
      <w:r w:rsidR="008E693D">
        <w:rPr>
          <w:rFonts w:cs="Arial"/>
          <w:b w:val="0"/>
          <w:color w:val="auto"/>
          <w:sz w:val="24"/>
        </w:rPr>
        <w:t xml:space="preserve"> </w:t>
      </w:r>
      <w:r w:rsidRPr="006E1430">
        <w:rPr>
          <w:rFonts w:cs="Arial"/>
          <w:b w:val="0"/>
          <w:color w:val="auto"/>
          <w:sz w:val="24"/>
          <w:lang w:val="en"/>
        </w:rPr>
        <w:t xml:space="preserve">Starting January 1, 2016, the OESP will provide a monthly credit </w:t>
      </w:r>
      <w:r w:rsidR="004A2297" w:rsidRPr="006E1430">
        <w:rPr>
          <w:rFonts w:cs="Arial"/>
          <w:b w:val="0"/>
          <w:color w:val="auto"/>
          <w:sz w:val="24"/>
          <w:lang w:val="en"/>
        </w:rPr>
        <w:t xml:space="preserve">to eligible </w:t>
      </w:r>
      <w:r w:rsidR="00265843" w:rsidRPr="006E1430">
        <w:rPr>
          <w:rFonts w:cs="Arial"/>
          <w:b w:val="0"/>
          <w:color w:val="auto"/>
          <w:sz w:val="24"/>
          <w:lang w:val="en"/>
        </w:rPr>
        <w:t>c</w:t>
      </w:r>
      <w:r w:rsidR="00265843">
        <w:rPr>
          <w:rFonts w:cs="Arial"/>
          <w:b w:val="0"/>
          <w:color w:val="auto"/>
          <w:sz w:val="24"/>
          <w:lang w:val="en"/>
        </w:rPr>
        <w:t>usto</w:t>
      </w:r>
      <w:r w:rsidR="00265843" w:rsidRPr="006E1430">
        <w:rPr>
          <w:rFonts w:cs="Arial"/>
          <w:b w:val="0"/>
          <w:color w:val="auto"/>
          <w:sz w:val="24"/>
          <w:lang w:val="en"/>
        </w:rPr>
        <w:t xml:space="preserve">mers </w:t>
      </w:r>
      <w:r w:rsidRPr="006E1430">
        <w:rPr>
          <w:rFonts w:cs="Arial"/>
          <w:b w:val="0"/>
          <w:color w:val="auto"/>
          <w:sz w:val="24"/>
          <w:lang w:val="en"/>
        </w:rPr>
        <w:t>based on household income</w:t>
      </w:r>
      <w:r w:rsidR="003469B5">
        <w:rPr>
          <w:rFonts w:cs="Arial"/>
          <w:b w:val="0"/>
          <w:color w:val="auto"/>
          <w:sz w:val="24"/>
          <w:lang w:val="en"/>
        </w:rPr>
        <w:t xml:space="preserve"> and</w:t>
      </w:r>
      <w:r w:rsidR="00D069F3">
        <w:rPr>
          <w:rFonts w:cs="Arial"/>
          <w:b w:val="0"/>
          <w:color w:val="auto"/>
          <w:sz w:val="24"/>
          <w:lang w:val="en"/>
        </w:rPr>
        <w:t xml:space="preserve"> number of people in the house. </w:t>
      </w:r>
      <w:r w:rsidR="00F755CC">
        <w:rPr>
          <w:rFonts w:cs="Arial"/>
          <w:b w:val="0"/>
          <w:color w:val="auto"/>
          <w:sz w:val="24"/>
        </w:rPr>
        <w:t>T</w:t>
      </w:r>
      <w:r w:rsidR="00471BC7" w:rsidRPr="006E1430">
        <w:rPr>
          <w:rFonts w:cs="Arial"/>
          <w:b w:val="0"/>
          <w:color w:val="auto"/>
          <w:sz w:val="24"/>
        </w:rPr>
        <w:t>he OESP credits</w:t>
      </w:r>
      <w:r w:rsidR="00F755CC">
        <w:rPr>
          <w:rFonts w:cs="Arial"/>
          <w:b w:val="0"/>
          <w:color w:val="auto"/>
          <w:sz w:val="24"/>
        </w:rPr>
        <w:t xml:space="preserve"> will be applied</w:t>
      </w:r>
      <w:r w:rsidR="00471BC7" w:rsidRPr="006E1430">
        <w:rPr>
          <w:rFonts w:cs="Arial"/>
          <w:b w:val="0"/>
          <w:color w:val="auto"/>
          <w:sz w:val="24"/>
        </w:rPr>
        <w:t xml:space="preserve"> directly to eligible </w:t>
      </w:r>
      <w:r w:rsidR="00265843" w:rsidRPr="006E1430">
        <w:rPr>
          <w:rFonts w:cs="Arial"/>
          <w:b w:val="0"/>
          <w:color w:val="auto"/>
          <w:sz w:val="24"/>
        </w:rPr>
        <w:t>c</w:t>
      </w:r>
      <w:r w:rsidR="00265843">
        <w:rPr>
          <w:rFonts w:cs="Arial"/>
          <w:b w:val="0"/>
          <w:color w:val="auto"/>
          <w:sz w:val="24"/>
        </w:rPr>
        <w:t>usto</w:t>
      </w:r>
      <w:r w:rsidR="00265843" w:rsidRPr="006E1430">
        <w:rPr>
          <w:rFonts w:cs="Arial"/>
          <w:b w:val="0"/>
          <w:color w:val="auto"/>
          <w:sz w:val="24"/>
        </w:rPr>
        <w:t xml:space="preserve">mers’ </w:t>
      </w:r>
      <w:r w:rsidR="00471BC7" w:rsidRPr="006E1430">
        <w:rPr>
          <w:rFonts w:cs="Arial"/>
          <w:b w:val="0"/>
          <w:color w:val="auto"/>
          <w:sz w:val="24"/>
        </w:rPr>
        <w:t>bills.</w:t>
      </w:r>
      <w:r w:rsidR="00E116D1">
        <w:rPr>
          <w:rFonts w:cs="Arial"/>
          <w:b w:val="0"/>
          <w:color w:val="auto"/>
          <w:sz w:val="24"/>
        </w:rPr>
        <w:br/>
      </w:r>
    </w:p>
    <w:p w14:paraId="7642DC17" w14:textId="079FC015" w:rsidR="008E693D" w:rsidRDefault="008E693D" w:rsidP="008E693D">
      <w:r w:rsidDel="000B285F">
        <w:t xml:space="preserve">For low-income Ontarians, paying their electricity bill can be a challenge. Electricity represents a significantly greater share of their monthly expenses. For households with an annual income of $20,000 a typical electricity bill could be 10 per cent </w:t>
      </w:r>
      <w:r w:rsidR="00B13E61">
        <w:t xml:space="preserve">or more </w:t>
      </w:r>
      <w:r w:rsidDel="000B285F">
        <w:t>of their income.</w:t>
      </w:r>
    </w:p>
    <w:p w14:paraId="30343D2D" w14:textId="77777777" w:rsidR="00B13E61" w:rsidDel="000B285F" w:rsidRDefault="00B13E61" w:rsidP="008E693D"/>
    <w:p w14:paraId="06A2D78F" w14:textId="051FEB8B" w:rsidR="00B13E61" w:rsidRDefault="00B13E61" w:rsidP="00B13E61">
      <w:r w:rsidRPr="006E1430">
        <w:t xml:space="preserve">The OESP is available to all </w:t>
      </w:r>
      <w:r w:rsidR="003E5370">
        <w:t xml:space="preserve">eligible </w:t>
      </w:r>
      <w:r w:rsidRPr="006E1430">
        <w:t>low</w:t>
      </w:r>
      <w:r>
        <w:t>er</w:t>
      </w:r>
      <w:r w:rsidRPr="006E1430">
        <w:t>-income c</w:t>
      </w:r>
      <w:r>
        <w:t>usto</w:t>
      </w:r>
      <w:r w:rsidRPr="006E1430">
        <w:t>mers of electricity utilities, unit sub-meter providers and electricity retailers.</w:t>
      </w:r>
      <w:r w:rsidRPr="006E1430">
        <w:rPr>
          <w:lang w:val="en"/>
        </w:rPr>
        <w:t xml:space="preserve"> </w:t>
      </w:r>
      <w:r>
        <w:rPr>
          <w:lang w:val="en"/>
        </w:rPr>
        <w:t>I</w:t>
      </w:r>
      <w:r w:rsidRPr="006E1430">
        <w:rPr>
          <w:lang w:val="en"/>
        </w:rPr>
        <w:t xml:space="preserve">t could benefit more than 500,000 </w:t>
      </w:r>
      <w:r w:rsidRPr="006E1430">
        <w:t>Ontario households</w:t>
      </w:r>
      <w:r>
        <w:t>, including First Nations</w:t>
      </w:r>
      <w:r w:rsidRPr="006E1430">
        <w:t xml:space="preserve">.   </w:t>
      </w:r>
    </w:p>
    <w:p w14:paraId="4ED2563A" w14:textId="77777777" w:rsidR="008E693D" w:rsidRDefault="008E693D" w:rsidP="000B285F"/>
    <w:p w14:paraId="6B0DBA67" w14:textId="7F3F9D9A" w:rsidR="000B285F" w:rsidRPr="00113E19" w:rsidRDefault="000B285F" w:rsidP="00987D7B">
      <w:pPr>
        <w:spacing w:before="200"/>
        <w:ind w:right="14"/>
        <w:rPr>
          <w:rFonts w:eastAsia="Calibri"/>
        </w:rPr>
      </w:pPr>
      <w:r w:rsidRPr="00987D7B">
        <w:rPr>
          <w:rFonts w:eastAsia="MS Gothic"/>
          <w:b/>
          <w:bCs/>
          <w:color w:val="036FA1"/>
        </w:rPr>
        <w:t>How are First Nation</w:t>
      </w:r>
      <w:r w:rsidR="00F6269E">
        <w:rPr>
          <w:rFonts w:eastAsia="MS Gothic"/>
          <w:b/>
          <w:bCs/>
          <w:color w:val="036FA1"/>
        </w:rPr>
        <w:t>s</w:t>
      </w:r>
      <w:r w:rsidRPr="00987D7B">
        <w:rPr>
          <w:rFonts w:eastAsia="MS Gothic"/>
          <w:b/>
          <w:bCs/>
          <w:color w:val="036FA1"/>
        </w:rPr>
        <w:t xml:space="preserve"> needs taken into consideration?  </w:t>
      </w:r>
      <w:r>
        <w:rPr>
          <w:b/>
          <w:color w:val="4F81BD" w:themeColor="accent1"/>
        </w:rPr>
        <w:br/>
      </w:r>
      <w:r w:rsidRPr="00113E19">
        <w:rPr>
          <w:rFonts w:eastAsia="Calibri"/>
          <w:lang w:val="en-CA"/>
        </w:rPr>
        <w:t>After engaging with First Nations</w:t>
      </w:r>
      <w:r w:rsidRPr="00113E19">
        <w:t xml:space="preserve">, the OEB determined a higher level of support </w:t>
      </w:r>
      <w:r w:rsidR="00D069F3">
        <w:t xml:space="preserve">should be provided </w:t>
      </w:r>
      <w:r w:rsidRPr="00113E19">
        <w:t>for</w:t>
      </w:r>
      <w:r w:rsidRPr="00113E19">
        <w:rPr>
          <w:rFonts w:eastAsia="Calibri"/>
        </w:rPr>
        <w:t xml:space="preserve"> lower-income First Nations households to help </w:t>
      </w:r>
      <w:r w:rsidR="00A26F42">
        <w:rPr>
          <w:rFonts w:eastAsia="Calibri"/>
        </w:rPr>
        <w:t>address</w:t>
      </w:r>
      <w:r w:rsidR="00DE65C8">
        <w:rPr>
          <w:rFonts w:eastAsia="Calibri"/>
        </w:rPr>
        <w:t xml:space="preserve"> some of</w:t>
      </w:r>
      <w:r w:rsidR="00A26F42" w:rsidRPr="00113E19">
        <w:rPr>
          <w:rFonts w:eastAsia="Calibri"/>
        </w:rPr>
        <w:t xml:space="preserve"> </w:t>
      </w:r>
      <w:r w:rsidRPr="00113E19">
        <w:rPr>
          <w:rFonts w:eastAsia="Calibri"/>
        </w:rPr>
        <w:t xml:space="preserve">the unique challenges that </w:t>
      </w:r>
      <w:r w:rsidR="00D069F3">
        <w:rPr>
          <w:rFonts w:eastAsia="Calibri"/>
        </w:rPr>
        <w:t xml:space="preserve">may </w:t>
      </w:r>
      <w:r w:rsidRPr="00113E19">
        <w:rPr>
          <w:rFonts w:eastAsia="Calibri"/>
        </w:rPr>
        <w:t xml:space="preserve">lead to higher electricity use and costs.  </w:t>
      </w:r>
    </w:p>
    <w:p w14:paraId="08B500A6" w14:textId="144FCD5F" w:rsidR="000B285F" w:rsidRDefault="000B285F" w:rsidP="00987D7B">
      <w:pPr>
        <w:ind w:right="0"/>
        <w:rPr>
          <w:rFonts w:eastAsia="Calibri"/>
          <w:lang w:val="en-CA"/>
        </w:rPr>
      </w:pPr>
      <w:r w:rsidRPr="00C80EC6">
        <w:rPr>
          <w:rFonts w:ascii="Calibri" w:hAnsi="Calibri" w:cs="Calibri"/>
          <w:sz w:val="22"/>
          <w:szCs w:val="22"/>
        </w:rPr>
        <w:br/>
      </w:r>
      <w:r w:rsidRPr="00113E19">
        <w:t xml:space="preserve">In addition, the </w:t>
      </w:r>
      <w:r w:rsidRPr="00113E19">
        <w:rPr>
          <w:rFonts w:eastAsia="Calibri"/>
          <w:lang w:val="en-CA"/>
        </w:rPr>
        <w:t xml:space="preserve">Ontario Native Welfare Administrators Association (ONWAA) will </w:t>
      </w:r>
      <w:r w:rsidR="003E5370">
        <w:rPr>
          <w:rFonts w:eastAsia="Calibri"/>
          <w:lang w:val="en-CA"/>
        </w:rPr>
        <w:t xml:space="preserve">work with First Nations communities to </w:t>
      </w:r>
      <w:r w:rsidRPr="00113E19">
        <w:rPr>
          <w:rFonts w:eastAsia="Calibri"/>
          <w:lang w:val="en-CA"/>
        </w:rPr>
        <w:t>provide on-site, face-to-face assistance</w:t>
      </w:r>
      <w:r w:rsidR="003E5370">
        <w:rPr>
          <w:rFonts w:eastAsia="Calibri"/>
          <w:lang w:val="en-CA"/>
        </w:rPr>
        <w:t xml:space="preserve"> where required</w:t>
      </w:r>
      <w:r w:rsidRPr="00113E19">
        <w:rPr>
          <w:rFonts w:eastAsia="Calibri"/>
          <w:lang w:val="en-CA"/>
        </w:rPr>
        <w:t>. This will provide community members with the opportunity to complete a</w:t>
      </w:r>
      <w:r w:rsidR="00D069F3">
        <w:rPr>
          <w:rFonts w:eastAsia="Calibri"/>
          <w:lang w:val="en-CA"/>
        </w:rPr>
        <w:t>n</w:t>
      </w:r>
      <w:r w:rsidR="003E5370">
        <w:rPr>
          <w:rFonts w:eastAsia="Calibri"/>
          <w:lang w:val="en-CA"/>
        </w:rPr>
        <w:t xml:space="preserve"> </w:t>
      </w:r>
      <w:r>
        <w:rPr>
          <w:rFonts w:eastAsia="Calibri"/>
          <w:lang w:val="en-CA"/>
        </w:rPr>
        <w:t>application</w:t>
      </w:r>
      <w:r w:rsidRPr="00113E19">
        <w:rPr>
          <w:rFonts w:eastAsia="Calibri"/>
          <w:lang w:val="en-CA"/>
        </w:rPr>
        <w:t xml:space="preserve"> with personal support.  </w:t>
      </w:r>
    </w:p>
    <w:p w14:paraId="2880A7C2" w14:textId="77777777" w:rsidR="00987D7B" w:rsidRPr="00113E19" w:rsidRDefault="00987D7B" w:rsidP="00987D7B">
      <w:pPr>
        <w:ind w:right="0"/>
        <w:rPr>
          <w:rFonts w:eastAsia="Calibri"/>
          <w:color w:val="FF0000"/>
          <w:lang w:val="en-CA"/>
        </w:rPr>
      </w:pPr>
    </w:p>
    <w:p w14:paraId="22E6A444" w14:textId="7D4F4031" w:rsidR="000B285F" w:rsidRDefault="000B285F" w:rsidP="000B285F">
      <w:r w:rsidRPr="00113E19">
        <w:t xml:space="preserve">ONWAA </w:t>
      </w:r>
      <w:r w:rsidR="00D069F3">
        <w:t xml:space="preserve">will </w:t>
      </w:r>
      <w:r w:rsidRPr="00113E19">
        <w:t>confirm availability and timing.</w:t>
      </w:r>
    </w:p>
    <w:p w14:paraId="027730B2" w14:textId="77777777" w:rsidR="00987D7B" w:rsidRDefault="00987D7B" w:rsidP="000B285F"/>
    <w:p w14:paraId="278A88E3" w14:textId="1C8709B3" w:rsidR="006E1430" w:rsidRDefault="007663F6" w:rsidP="00987D7B">
      <w:pPr>
        <w:pStyle w:val="Heading3"/>
        <w:ind w:right="14"/>
      </w:pPr>
      <w:r w:rsidRPr="006E1430">
        <w:t xml:space="preserve">How </w:t>
      </w:r>
      <w:r w:rsidR="00747650" w:rsidRPr="006E1430">
        <w:t>m</w:t>
      </w:r>
      <w:r w:rsidRPr="006E1430">
        <w:t>uch</w:t>
      </w:r>
      <w:r w:rsidR="00F72F49" w:rsidRPr="006E1430">
        <w:t xml:space="preserve"> </w:t>
      </w:r>
      <w:r w:rsidR="00747650" w:rsidRPr="006E1430">
        <w:t>w</w:t>
      </w:r>
      <w:r w:rsidR="00F72F49" w:rsidRPr="006E1430">
        <w:t xml:space="preserve">ill </w:t>
      </w:r>
      <w:r w:rsidR="00747650" w:rsidRPr="006E1430">
        <w:t>e</w:t>
      </w:r>
      <w:r w:rsidR="00F72F49" w:rsidRPr="006E1430">
        <w:t>ligible</w:t>
      </w:r>
      <w:r w:rsidR="00E116D1">
        <w:t xml:space="preserve"> First Nations</w:t>
      </w:r>
      <w:r w:rsidR="003469B5">
        <w:t xml:space="preserve"> </w:t>
      </w:r>
      <w:r w:rsidR="00265843" w:rsidRPr="006E1430">
        <w:t>c</w:t>
      </w:r>
      <w:r w:rsidR="00265843">
        <w:t>usto</w:t>
      </w:r>
      <w:r w:rsidR="00265843" w:rsidRPr="006E1430">
        <w:t xml:space="preserve">mers </w:t>
      </w:r>
      <w:r w:rsidR="00747650" w:rsidRPr="006E1430">
        <w:t>r</w:t>
      </w:r>
      <w:r w:rsidR="00F72F49" w:rsidRPr="006E1430">
        <w:t>eceive?</w:t>
      </w:r>
      <w:r w:rsidR="006B7685" w:rsidRPr="006E1430">
        <w:t xml:space="preserve"> </w:t>
      </w:r>
    </w:p>
    <w:p w14:paraId="298768B6" w14:textId="02ABD3BE" w:rsidR="00987228" w:rsidRDefault="00987228" w:rsidP="00987228">
      <w:r w:rsidRPr="006E1430">
        <w:t xml:space="preserve">The OESP on-bill credit amount </w:t>
      </w:r>
      <w:r w:rsidR="003E5370">
        <w:t xml:space="preserve">for eligible customers </w:t>
      </w:r>
      <w:r w:rsidRPr="006E1430">
        <w:t xml:space="preserve">will vary depending on how many people live in the house and the combined household income. </w:t>
      </w:r>
    </w:p>
    <w:p w14:paraId="38C88EC0" w14:textId="77777777" w:rsidR="00987228" w:rsidRDefault="00987228" w:rsidP="00987228"/>
    <w:p w14:paraId="01193E36" w14:textId="33668DB1" w:rsidR="00987228" w:rsidRDefault="00987228" w:rsidP="00987228">
      <w:r>
        <w:t xml:space="preserve">The credit for a First Nations household is </w:t>
      </w:r>
      <w:proofErr w:type="gramStart"/>
      <w:r>
        <w:t>between $45 to $75 a month</w:t>
      </w:r>
      <w:proofErr w:type="gramEnd"/>
      <w:r w:rsidR="00B13E61">
        <w:t>.</w:t>
      </w:r>
      <w:r w:rsidR="002E1CC5" w:rsidRPr="002E1CC5">
        <w:t xml:space="preserve"> All other lower-income households are eligible to receive </w:t>
      </w:r>
      <w:r w:rsidR="002E1CC5">
        <w:t>between $30</w:t>
      </w:r>
      <w:r w:rsidR="00005B7A">
        <w:t xml:space="preserve"> and </w:t>
      </w:r>
      <w:r w:rsidR="002E1CC5">
        <w:t>$50 a month.</w:t>
      </w:r>
      <w:r>
        <w:t xml:space="preserve">  </w:t>
      </w:r>
    </w:p>
    <w:p w14:paraId="79C7DD85" w14:textId="77777777" w:rsidR="00987228" w:rsidRDefault="00987228" w:rsidP="00987228"/>
    <w:p w14:paraId="02BDFE07" w14:textId="7D34D165" w:rsidR="00005B7A" w:rsidRDefault="00005B7A">
      <w:pPr>
        <w:spacing w:line="240" w:lineRule="auto"/>
        <w:ind w:right="0"/>
        <w:rPr>
          <w:color w:val="4F81BD" w:themeColor="accent1"/>
        </w:rPr>
      </w:pPr>
      <w:r>
        <w:rPr>
          <w:color w:val="4F81BD" w:themeColor="accent1"/>
        </w:rPr>
        <w:br w:type="page"/>
      </w:r>
    </w:p>
    <w:p w14:paraId="4DC6FFB9" w14:textId="77777777" w:rsidR="000B285F" w:rsidRPr="00987D7B" w:rsidRDefault="000B285F" w:rsidP="000B285F">
      <w:pPr>
        <w:rPr>
          <w:b/>
          <w:color w:val="036FA1"/>
        </w:rPr>
      </w:pPr>
      <w:r w:rsidRPr="00987D7B">
        <w:rPr>
          <w:b/>
          <w:color w:val="036FA1"/>
        </w:rPr>
        <w:lastRenderedPageBreak/>
        <w:t>OESP Monthly Credit Amounts – Energy Intensive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982"/>
        <w:gridCol w:w="982"/>
        <w:gridCol w:w="982"/>
        <w:gridCol w:w="983"/>
        <w:gridCol w:w="982"/>
        <w:gridCol w:w="923"/>
        <w:gridCol w:w="1041"/>
      </w:tblGrid>
      <w:tr w:rsidR="000B285F" w:rsidRPr="00983A0B" w14:paraId="784B68F6" w14:textId="77777777" w:rsidTr="00987228">
        <w:tc>
          <w:tcPr>
            <w:tcW w:w="2802" w:type="dxa"/>
            <w:shd w:val="clear" w:color="auto" w:fill="auto"/>
          </w:tcPr>
          <w:p w14:paraId="664D4A5A" w14:textId="77777777" w:rsidR="000B285F" w:rsidRPr="00687D8A" w:rsidRDefault="000B285F" w:rsidP="00987228">
            <w:pPr>
              <w:rPr>
                <w:b/>
                <w:lang w:val="en-CA"/>
              </w:rPr>
            </w:pPr>
            <w:r w:rsidRPr="00687D8A">
              <w:rPr>
                <w:b/>
                <w:lang w:val="en-CA"/>
              </w:rPr>
              <w:t>Household Income</w:t>
            </w:r>
          </w:p>
        </w:tc>
        <w:tc>
          <w:tcPr>
            <w:tcW w:w="6946" w:type="dxa"/>
            <w:gridSpan w:val="7"/>
            <w:shd w:val="clear" w:color="auto" w:fill="auto"/>
          </w:tcPr>
          <w:p w14:paraId="3E2A4FFD" w14:textId="77777777" w:rsidR="000B285F" w:rsidRPr="00687D8A" w:rsidRDefault="000B285F" w:rsidP="00987228">
            <w:pPr>
              <w:rPr>
                <w:b/>
                <w:lang w:val="en-CA"/>
              </w:rPr>
            </w:pPr>
            <w:r w:rsidRPr="00687D8A">
              <w:rPr>
                <w:b/>
                <w:lang w:val="en-CA"/>
              </w:rPr>
              <w:t>Household Size (Number of people living in household)</w:t>
            </w:r>
          </w:p>
        </w:tc>
      </w:tr>
      <w:tr w:rsidR="000B285F" w:rsidRPr="00687D8A" w14:paraId="7D029EA6" w14:textId="77777777" w:rsidTr="00987228">
        <w:tc>
          <w:tcPr>
            <w:tcW w:w="2802" w:type="dxa"/>
            <w:shd w:val="clear" w:color="auto" w:fill="auto"/>
          </w:tcPr>
          <w:p w14:paraId="00068D39" w14:textId="77777777" w:rsidR="000B285F" w:rsidRPr="00687D8A" w:rsidRDefault="000B285F" w:rsidP="00987228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14:paraId="16646DE5" w14:textId="77777777" w:rsidR="000B285F" w:rsidRPr="00687D8A" w:rsidRDefault="000B285F" w:rsidP="00987228">
            <w:pPr>
              <w:jc w:val="center"/>
              <w:rPr>
                <w:b/>
                <w:lang w:val="en-CA"/>
              </w:rPr>
            </w:pPr>
            <w:r w:rsidRPr="00687D8A">
              <w:rPr>
                <w:b/>
                <w:lang w:val="en-C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5D8A7C9" w14:textId="77777777" w:rsidR="000B285F" w:rsidRPr="00687D8A" w:rsidRDefault="000B285F" w:rsidP="00987228">
            <w:pPr>
              <w:jc w:val="center"/>
              <w:rPr>
                <w:b/>
                <w:lang w:val="en-CA"/>
              </w:rPr>
            </w:pPr>
            <w:r w:rsidRPr="00687D8A">
              <w:rPr>
                <w:b/>
                <w:lang w:val="en-C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3A996FE" w14:textId="77777777" w:rsidR="000B285F" w:rsidRPr="00687D8A" w:rsidRDefault="000B285F" w:rsidP="00987228">
            <w:pPr>
              <w:jc w:val="center"/>
              <w:rPr>
                <w:b/>
                <w:lang w:val="en-CA"/>
              </w:rPr>
            </w:pPr>
            <w:r w:rsidRPr="00687D8A">
              <w:rPr>
                <w:b/>
                <w:lang w:val="en-C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C124ECA" w14:textId="77777777" w:rsidR="000B285F" w:rsidRPr="00687D8A" w:rsidRDefault="000B285F" w:rsidP="00987228">
            <w:pPr>
              <w:jc w:val="center"/>
              <w:rPr>
                <w:b/>
                <w:lang w:val="en-CA"/>
              </w:rPr>
            </w:pPr>
            <w:r w:rsidRPr="00687D8A">
              <w:rPr>
                <w:b/>
                <w:lang w:val="en-C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5655DEC" w14:textId="77777777" w:rsidR="000B285F" w:rsidRPr="00687D8A" w:rsidRDefault="000B285F" w:rsidP="00987228">
            <w:pPr>
              <w:jc w:val="center"/>
              <w:rPr>
                <w:b/>
                <w:lang w:val="en-CA"/>
              </w:rPr>
            </w:pPr>
            <w:r w:rsidRPr="00687D8A">
              <w:rPr>
                <w:b/>
                <w:lang w:val="en-CA"/>
              </w:rPr>
              <w:t>5</w:t>
            </w:r>
          </w:p>
        </w:tc>
        <w:tc>
          <w:tcPr>
            <w:tcW w:w="932" w:type="dxa"/>
            <w:shd w:val="clear" w:color="auto" w:fill="auto"/>
          </w:tcPr>
          <w:p w14:paraId="1CD0E59A" w14:textId="77777777" w:rsidR="000B285F" w:rsidRPr="00687D8A" w:rsidRDefault="000B285F" w:rsidP="00987228">
            <w:pPr>
              <w:jc w:val="center"/>
              <w:rPr>
                <w:b/>
                <w:lang w:val="en-CA"/>
              </w:rPr>
            </w:pPr>
            <w:r w:rsidRPr="00687D8A">
              <w:rPr>
                <w:b/>
                <w:lang w:val="en-CA"/>
              </w:rPr>
              <w:t>6</w:t>
            </w:r>
          </w:p>
        </w:tc>
        <w:tc>
          <w:tcPr>
            <w:tcW w:w="1053" w:type="dxa"/>
            <w:shd w:val="clear" w:color="auto" w:fill="auto"/>
          </w:tcPr>
          <w:p w14:paraId="150507A2" w14:textId="5E8A059B" w:rsidR="000B285F" w:rsidRPr="00687D8A" w:rsidRDefault="000B285F" w:rsidP="00987228">
            <w:pPr>
              <w:jc w:val="center"/>
              <w:rPr>
                <w:b/>
                <w:lang w:val="en-CA"/>
              </w:rPr>
            </w:pPr>
            <w:r w:rsidRPr="00687D8A">
              <w:rPr>
                <w:b/>
                <w:lang w:val="en-CA"/>
              </w:rPr>
              <w:t>7</w:t>
            </w:r>
            <w:r w:rsidR="00BA5ED8">
              <w:rPr>
                <w:b/>
                <w:lang w:val="en-CA"/>
              </w:rPr>
              <w:t>+</w:t>
            </w:r>
          </w:p>
        </w:tc>
      </w:tr>
      <w:tr w:rsidR="000B285F" w:rsidRPr="00983A0B" w14:paraId="03F41EC1" w14:textId="77777777" w:rsidTr="00987228">
        <w:tc>
          <w:tcPr>
            <w:tcW w:w="2802" w:type="dxa"/>
            <w:shd w:val="clear" w:color="auto" w:fill="auto"/>
          </w:tcPr>
          <w:p w14:paraId="688D4D79" w14:textId="77777777" w:rsidR="000B285F" w:rsidRPr="00983A0B" w:rsidRDefault="000B285F" w:rsidP="00987228">
            <w:pPr>
              <w:rPr>
                <w:lang w:val="en-CA"/>
              </w:rPr>
            </w:pPr>
            <w:r w:rsidRPr="00983A0B">
              <w:rPr>
                <w:lang w:val="en-CA"/>
              </w:rPr>
              <w:t>$28,000</w:t>
            </w:r>
            <w:r>
              <w:rPr>
                <w:lang w:val="en-CA"/>
              </w:rPr>
              <w:t xml:space="preserve"> or less</w:t>
            </w:r>
          </w:p>
        </w:tc>
        <w:tc>
          <w:tcPr>
            <w:tcW w:w="992" w:type="dxa"/>
            <w:shd w:val="clear" w:color="auto" w:fill="auto"/>
          </w:tcPr>
          <w:p w14:paraId="0FE20EE0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$45</w:t>
            </w:r>
          </w:p>
        </w:tc>
        <w:tc>
          <w:tcPr>
            <w:tcW w:w="992" w:type="dxa"/>
            <w:shd w:val="clear" w:color="auto" w:fill="auto"/>
          </w:tcPr>
          <w:p w14:paraId="6E615AC6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$45</w:t>
            </w:r>
          </w:p>
        </w:tc>
        <w:tc>
          <w:tcPr>
            <w:tcW w:w="992" w:type="dxa"/>
            <w:shd w:val="clear" w:color="auto" w:fill="auto"/>
          </w:tcPr>
          <w:p w14:paraId="27E44F00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$50</w:t>
            </w:r>
          </w:p>
        </w:tc>
        <w:tc>
          <w:tcPr>
            <w:tcW w:w="993" w:type="dxa"/>
            <w:shd w:val="clear" w:color="auto" w:fill="auto"/>
          </w:tcPr>
          <w:p w14:paraId="7CB76A38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$55</w:t>
            </w:r>
          </w:p>
        </w:tc>
        <w:tc>
          <w:tcPr>
            <w:tcW w:w="992" w:type="dxa"/>
            <w:shd w:val="clear" w:color="auto" w:fill="auto"/>
          </w:tcPr>
          <w:p w14:paraId="2372E187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$60</w:t>
            </w:r>
          </w:p>
        </w:tc>
        <w:tc>
          <w:tcPr>
            <w:tcW w:w="932" w:type="dxa"/>
            <w:shd w:val="clear" w:color="auto" w:fill="auto"/>
          </w:tcPr>
          <w:p w14:paraId="0942C333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$75</w:t>
            </w:r>
          </w:p>
        </w:tc>
        <w:tc>
          <w:tcPr>
            <w:tcW w:w="1053" w:type="dxa"/>
            <w:shd w:val="clear" w:color="auto" w:fill="auto"/>
          </w:tcPr>
          <w:p w14:paraId="6147361F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$75</w:t>
            </w:r>
          </w:p>
        </w:tc>
      </w:tr>
      <w:tr w:rsidR="000B285F" w:rsidRPr="00983A0B" w14:paraId="00198CD6" w14:textId="77777777" w:rsidTr="00987228">
        <w:tc>
          <w:tcPr>
            <w:tcW w:w="2802" w:type="dxa"/>
            <w:shd w:val="clear" w:color="auto" w:fill="auto"/>
          </w:tcPr>
          <w:p w14:paraId="474C7D46" w14:textId="77777777" w:rsidR="000B285F" w:rsidRPr="00983A0B" w:rsidRDefault="000B285F" w:rsidP="00987228">
            <w:pPr>
              <w:rPr>
                <w:lang w:val="en-CA"/>
              </w:rPr>
            </w:pPr>
            <w:r w:rsidRPr="00983A0B">
              <w:rPr>
                <w:lang w:val="en-CA"/>
              </w:rPr>
              <w:t>$28,001-$39,000</w:t>
            </w:r>
          </w:p>
        </w:tc>
        <w:tc>
          <w:tcPr>
            <w:tcW w:w="992" w:type="dxa"/>
            <w:shd w:val="clear" w:color="auto" w:fill="auto"/>
          </w:tcPr>
          <w:p w14:paraId="5C6EB1E2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14:paraId="1DAB0192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14:paraId="4468090B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$45</w:t>
            </w:r>
          </w:p>
        </w:tc>
        <w:tc>
          <w:tcPr>
            <w:tcW w:w="993" w:type="dxa"/>
            <w:shd w:val="clear" w:color="auto" w:fill="auto"/>
          </w:tcPr>
          <w:p w14:paraId="662FBE04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$50</w:t>
            </w:r>
          </w:p>
        </w:tc>
        <w:tc>
          <w:tcPr>
            <w:tcW w:w="992" w:type="dxa"/>
            <w:shd w:val="clear" w:color="auto" w:fill="auto"/>
          </w:tcPr>
          <w:p w14:paraId="5099832F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$55</w:t>
            </w:r>
          </w:p>
        </w:tc>
        <w:tc>
          <w:tcPr>
            <w:tcW w:w="932" w:type="dxa"/>
            <w:shd w:val="clear" w:color="auto" w:fill="auto"/>
          </w:tcPr>
          <w:p w14:paraId="2C4A72D9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$60</w:t>
            </w:r>
          </w:p>
        </w:tc>
        <w:tc>
          <w:tcPr>
            <w:tcW w:w="1053" w:type="dxa"/>
            <w:shd w:val="clear" w:color="auto" w:fill="auto"/>
          </w:tcPr>
          <w:p w14:paraId="3F24C154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$75</w:t>
            </w:r>
          </w:p>
        </w:tc>
      </w:tr>
      <w:tr w:rsidR="000B285F" w:rsidRPr="00983A0B" w14:paraId="39587607" w14:textId="77777777" w:rsidTr="00987228">
        <w:tc>
          <w:tcPr>
            <w:tcW w:w="2802" w:type="dxa"/>
            <w:shd w:val="clear" w:color="auto" w:fill="auto"/>
          </w:tcPr>
          <w:p w14:paraId="6F3C8EA2" w14:textId="77777777" w:rsidR="000B285F" w:rsidRPr="00983A0B" w:rsidRDefault="000B285F" w:rsidP="00987228">
            <w:pPr>
              <w:rPr>
                <w:lang w:val="en-CA"/>
              </w:rPr>
            </w:pPr>
            <w:r w:rsidRPr="00983A0B">
              <w:rPr>
                <w:lang w:val="en-CA"/>
              </w:rPr>
              <w:t>$39,001-$48,000</w:t>
            </w:r>
          </w:p>
        </w:tc>
        <w:tc>
          <w:tcPr>
            <w:tcW w:w="992" w:type="dxa"/>
            <w:shd w:val="clear" w:color="auto" w:fill="auto"/>
          </w:tcPr>
          <w:p w14:paraId="0138D318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14:paraId="7C06F2BE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14:paraId="319B579D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14:paraId="2F7CF954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14:paraId="6875D671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$45</w:t>
            </w:r>
          </w:p>
        </w:tc>
        <w:tc>
          <w:tcPr>
            <w:tcW w:w="932" w:type="dxa"/>
            <w:shd w:val="clear" w:color="auto" w:fill="auto"/>
          </w:tcPr>
          <w:p w14:paraId="0BB09F78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$50</w:t>
            </w:r>
          </w:p>
        </w:tc>
        <w:tc>
          <w:tcPr>
            <w:tcW w:w="1053" w:type="dxa"/>
            <w:shd w:val="clear" w:color="auto" w:fill="auto"/>
          </w:tcPr>
          <w:p w14:paraId="11E28016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$55</w:t>
            </w:r>
          </w:p>
        </w:tc>
      </w:tr>
      <w:tr w:rsidR="000B285F" w:rsidRPr="00983A0B" w14:paraId="4E467821" w14:textId="77777777" w:rsidTr="00987228">
        <w:tc>
          <w:tcPr>
            <w:tcW w:w="2802" w:type="dxa"/>
            <w:shd w:val="clear" w:color="auto" w:fill="auto"/>
          </w:tcPr>
          <w:p w14:paraId="11B4C090" w14:textId="77777777" w:rsidR="000B285F" w:rsidRPr="00983A0B" w:rsidRDefault="000B285F" w:rsidP="00987228">
            <w:pPr>
              <w:rPr>
                <w:lang w:val="en-CA"/>
              </w:rPr>
            </w:pPr>
            <w:r w:rsidRPr="00983A0B">
              <w:rPr>
                <w:lang w:val="en-CA"/>
              </w:rPr>
              <w:t>$48,001-$52,000</w:t>
            </w:r>
          </w:p>
        </w:tc>
        <w:tc>
          <w:tcPr>
            <w:tcW w:w="992" w:type="dxa"/>
            <w:shd w:val="clear" w:color="auto" w:fill="auto"/>
          </w:tcPr>
          <w:p w14:paraId="5E4C1BDE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14:paraId="28D5FF66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14:paraId="34B3A72D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</w:p>
        </w:tc>
        <w:tc>
          <w:tcPr>
            <w:tcW w:w="993" w:type="dxa"/>
            <w:shd w:val="clear" w:color="auto" w:fill="auto"/>
          </w:tcPr>
          <w:p w14:paraId="6B2128E2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</w:p>
        </w:tc>
        <w:tc>
          <w:tcPr>
            <w:tcW w:w="992" w:type="dxa"/>
            <w:shd w:val="clear" w:color="auto" w:fill="auto"/>
          </w:tcPr>
          <w:p w14:paraId="722A6780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</w:p>
        </w:tc>
        <w:tc>
          <w:tcPr>
            <w:tcW w:w="932" w:type="dxa"/>
            <w:shd w:val="clear" w:color="auto" w:fill="auto"/>
          </w:tcPr>
          <w:p w14:paraId="5FD18E03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</w:p>
        </w:tc>
        <w:tc>
          <w:tcPr>
            <w:tcW w:w="1053" w:type="dxa"/>
            <w:shd w:val="clear" w:color="auto" w:fill="auto"/>
          </w:tcPr>
          <w:p w14:paraId="0541F451" w14:textId="77777777" w:rsidR="000B285F" w:rsidRPr="00983A0B" w:rsidRDefault="000B285F" w:rsidP="00987228">
            <w:pPr>
              <w:jc w:val="center"/>
              <w:rPr>
                <w:lang w:val="en-CA"/>
              </w:rPr>
            </w:pPr>
            <w:r w:rsidRPr="00983A0B">
              <w:rPr>
                <w:lang w:val="en-CA"/>
              </w:rPr>
              <w:t>$45</w:t>
            </w:r>
          </w:p>
        </w:tc>
      </w:tr>
    </w:tbl>
    <w:p w14:paraId="1913494B" w14:textId="77777777" w:rsidR="000B285F" w:rsidRDefault="000B285F" w:rsidP="000B285F"/>
    <w:p w14:paraId="2E9188DA" w14:textId="7B3A9F11" w:rsidR="00987228" w:rsidRPr="00B13E61" w:rsidRDefault="00F02ACC" w:rsidP="00987D7B">
      <w:pPr>
        <w:pStyle w:val="Heading3"/>
        <w:rPr>
          <w:lang w:val="en" w:eastAsia="en-CA"/>
        </w:rPr>
      </w:pPr>
      <w:r w:rsidRPr="00B13E61">
        <w:rPr>
          <w:lang w:val="en" w:eastAsia="en-CA"/>
        </w:rPr>
        <w:t xml:space="preserve">How </w:t>
      </w:r>
      <w:r w:rsidR="00747650" w:rsidRPr="00B13E61">
        <w:rPr>
          <w:lang w:val="en" w:eastAsia="en-CA"/>
        </w:rPr>
        <w:t>d</w:t>
      </w:r>
      <w:r w:rsidRPr="00B13E61">
        <w:rPr>
          <w:lang w:val="en" w:eastAsia="en-CA"/>
        </w:rPr>
        <w:t xml:space="preserve">o </w:t>
      </w:r>
      <w:r w:rsidR="00987228" w:rsidRPr="00B13E61">
        <w:rPr>
          <w:lang w:val="en" w:eastAsia="en-CA"/>
        </w:rPr>
        <w:t xml:space="preserve">First Nations </w:t>
      </w:r>
      <w:r w:rsidR="00265843" w:rsidRPr="00B13E61">
        <w:rPr>
          <w:lang w:val="en" w:eastAsia="en-CA"/>
        </w:rPr>
        <w:t xml:space="preserve">customers </w:t>
      </w:r>
      <w:r w:rsidR="00747650" w:rsidRPr="00B13E61">
        <w:rPr>
          <w:lang w:val="en" w:eastAsia="en-CA"/>
        </w:rPr>
        <w:t>a</w:t>
      </w:r>
      <w:r w:rsidRPr="00B13E61">
        <w:rPr>
          <w:lang w:val="en" w:eastAsia="en-CA"/>
        </w:rPr>
        <w:t>pply?</w:t>
      </w:r>
    </w:p>
    <w:p w14:paraId="5EC53984" w14:textId="2472BB27" w:rsidR="00B13E61" w:rsidRDefault="00987228" w:rsidP="00987D7B">
      <w:pPr>
        <w:spacing w:line="259" w:lineRule="auto"/>
        <w:ind w:right="0"/>
        <w:rPr>
          <w:rFonts w:eastAsia="Calibri"/>
          <w:lang w:val="en-CA"/>
        </w:rPr>
      </w:pPr>
      <w:r w:rsidRPr="00113E19">
        <w:rPr>
          <w:rFonts w:eastAsia="Calibri"/>
          <w:color w:val="1A1A1A"/>
        </w:rPr>
        <w:t>ONWAA</w:t>
      </w:r>
      <w:r>
        <w:rPr>
          <w:rFonts w:eastAsia="Calibri"/>
          <w:color w:val="1A1A1A"/>
        </w:rPr>
        <w:t xml:space="preserve"> will be available to help complete written applications.</w:t>
      </w:r>
      <w:r>
        <w:rPr>
          <w:rFonts w:eastAsia="Calibri"/>
          <w:lang w:val="en-CA"/>
        </w:rPr>
        <w:t xml:space="preserve"> </w:t>
      </w:r>
      <w:r w:rsidRPr="002877C1">
        <w:rPr>
          <w:rFonts w:eastAsia="Calibri"/>
          <w:lang w:val="en-CA"/>
        </w:rPr>
        <w:t xml:space="preserve">Please call </w:t>
      </w:r>
      <w:r w:rsidR="003E5370" w:rsidRPr="00987D7B">
        <w:rPr>
          <w:rFonts w:eastAsia="Calibri"/>
          <w:lang w:val="en-CA"/>
        </w:rPr>
        <w:t>1-844-885-3157 or email oesp@onwaa.com</w:t>
      </w:r>
      <w:r w:rsidR="003E5370">
        <w:rPr>
          <w:rFonts w:eastAsia="Calibri"/>
          <w:lang w:val="en-CA"/>
        </w:rPr>
        <w:t xml:space="preserve"> </w:t>
      </w:r>
      <w:r>
        <w:rPr>
          <w:rFonts w:eastAsia="Calibri"/>
          <w:lang w:val="en-CA"/>
        </w:rPr>
        <w:t xml:space="preserve">for more information.  </w:t>
      </w:r>
    </w:p>
    <w:p w14:paraId="51841FC3" w14:textId="77777777" w:rsidR="00987D7B" w:rsidRDefault="00987D7B" w:rsidP="00987D7B">
      <w:pPr>
        <w:spacing w:line="259" w:lineRule="auto"/>
        <w:ind w:right="0"/>
        <w:rPr>
          <w:rFonts w:eastAsia="Calibri"/>
          <w:lang w:val="en-CA"/>
        </w:rPr>
      </w:pPr>
    </w:p>
    <w:p w14:paraId="60829F95" w14:textId="56E61E81" w:rsidR="00987D7B" w:rsidRDefault="00B13E61" w:rsidP="00987D7B">
      <w:pPr>
        <w:spacing w:line="259" w:lineRule="auto"/>
        <w:ind w:right="0"/>
        <w:rPr>
          <w:rFonts w:eastAsia="Calibri"/>
          <w:color w:val="1A1A1A"/>
        </w:rPr>
      </w:pPr>
      <w:r w:rsidRPr="00987D7B">
        <w:rPr>
          <w:rFonts w:eastAsia="Calibri"/>
          <w:color w:val="1A1A1A"/>
        </w:rPr>
        <w:t xml:space="preserve">To complete the application, customers will need their electricity bill, birthdates and names of all residents living in the home, and proof of household income.  </w:t>
      </w:r>
    </w:p>
    <w:p w14:paraId="54C365F0" w14:textId="77777777" w:rsidR="00987D7B" w:rsidRPr="00987D7B" w:rsidRDefault="00987D7B" w:rsidP="00987D7B">
      <w:pPr>
        <w:spacing w:line="259" w:lineRule="auto"/>
        <w:ind w:right="0"/>
        <w:rPr>
          <w:rFonts w:eastAsia="Calibri"/>
          <w:color w:val="1A1A1A"/>
        </w:rPr>
      </w:pPr>
    </w:p>
    <w:p w14:paraId="26DD14F4" w14:textId="21FA71B4" w:rsidR="00987228" w:rsidRDefault="00987228" w:rsidP="00987D7B">
      <w:pPr>
        <w:spacing w:line="259" w:lineRule="auto"/>
        <w:ind w:right="0"/>
        <w:rPr>
          <w:rFonts w:eastAsia="Calibri"/>
          <w:lang w:val="en-CA"/>
        </w:rPr>
      </w:pPr>
      <w:r>
        <w:rPr>
          <w:rFonts w:eastAsia="Calibri"/>
          <w:lang w:val="en-CA"/>
        </w:rPr>
        <w:t xml:space="preserve">First Nations customers interested in applying </w:t>
      </w:r>
      <w:r w:rsidR="00987D7B">
        <w:rPr>
          <w:rFonts w:eastAsia="Calibri"/>
          <w:lang w:val="en-CA"/>
        </w:rPr>
        <w:t xml:space="preserve">on their own </w:t>
      </w:r>
      <w:r>
        <w:rPr>
          <w:rFonts w:eastAsia="Calibri"/>
          <w:lang w:val="en-CA"/>
        </w:rPr>
        <w:t xml:space="preserve">online may do so if taxes have been filed recently and </w:t>
      </w:r>
      <w:r w:rsidR="003E5370">
        <w:rPr>
          <w:rFonts w:eastAsia="Calibri"/>
          <w:lang w:val="en-CA"/>
        </w:rPr>
        <w:t xml:space="preserve">verified </w:t>
      </w:r>
      <w:r>
        <w:rPr>
          <w:rFonts w:eastAsia="Calibri"/>
          <w:lang w:val="en-CA"/>
        </w:rPr>
        <w:t xml:space="preserve">income from the </w:t>
      </w:r>
      <w:r w:rsidR="00E97DB4">
        <w:rPr>
          <w:rFonts w:eastAsia="Calibri"/>
          <w:lang w:val="en-CA"/>
        </w:rPr>
        <w:t>Canad</w:t>
      </w:r>
      <w:r w:rsidR="00E97DB4">
        <w:rPr>
          <w:rFonts w:eastAsia="Calibri"/>
          <w:lang w:val="en-CA"/>
        </w:rPr>
        <w:t>a</w:t>
      </w:r>
      <w:r w:rsidR="00E97DB4">
        <w:rPr>
          <w:rFonts w:eastAsia="Calibri"/>
          <w:lang w:val="en-CA"/>
        </w:rPr>
        <w:t xml:space="preserve"> </w:t>
      </w:r>
      <w:r>
        <w:rPr>
          <w:rFonts w:eastAsia="Calibri"/>
          <w:lang w:val="en-CA"/>
        </w:rPr>
        <w:t>Revenue Agency reflects the household’s total income.</w:t>
      </w:r>
    </w:p>
    <w:p w14:paraId="672A89D1" w14:textId="77777777" w:rsidR="00987D7B" w:rsidRDefault="00987D7B" w:rsidP="00987D7B">
      <w:pPr>
        <w:spacing w:line="259" w:lineRule="auto"/>
        <w:ind w:right="0"/>
        <w:rPr>
          <w:rFonts w:eastAsia="Calibri"/>
          <w:lang w:val="en-CA"/>
        </w:rPr>
      </w:pPr>
    </w:p>
    <w:p w14:paraId="1C5BC0AD" w14:textId="77777777" w:rsidR="00987D7B" w:rsidRDefault="00B13E61" w:rsidP="00987D7B">
      <w:pPr>
        <w:spacing w:line="259" w:lineRule="auto"/>
        <w:ind w:right="0"/>
      </w:pPr>
      <w:r w:rsidRPr="006E1430">
        <w:t>Applications take 6 to 8 weeks to process.</w:t>
      </w:r>
    </w:p>
    <w:p w14:paraId="105A41DB" w14:textId="77777777" w:rsidR="00987D7B" w:rsidRDefault="00987D7B" w:rsidP="00987D7B">
      <w:pPr>
        <w:spacing w:after="160" w:line="259" w:lineRule="auto"/>
        <w:ind w:right="0"/>
      </w:pPr>
    </w:p>
    <w:p w14:paraId="26ED01E4" w14:textId="079B21C5" w:rsidR="00C127D7" w:rsidRPr="00987D7B" w:rsidRDefault="00C127D7" w:rsidP="00987D7B">
      <w:pPr>
        <w:pStyle w:val="Heading3"/>
        <w:ind w:right="14"/>
      </w:pPr>
      <w:r w:rsidRPr="00987D7B">
        <w:t xml:space="preserve">How often do </w:t>
      </w:r>
      <w:r w:rsidR="00327835" w:rsidRPr="00987D7B">
        <w:t xml:space="preserve">First Nations </w:t>
      </w:r>
      <w:r w:rsidRPr="00987D7B">
        <w:t>customers need to apply?</w:t>
      </w:r>
    </w:p>
    <w:p w14:paraId="388A2653" w14:textId="26945944" w:rsidR="00C127D7" w:rsidRDefault="00C127D7" w:rsidP="00D069F3">
      <w:r w:rsidRPr="006E1430">
        <w:t>Eligible c</w:t>
      </w:r>
      <w:r>
        <w:t>usto</w:t>
      </w:r>
      <w:r w:rsidRPr="006E1430">
        <w:t>mers will</w:t>
      </w:r>
      <w:r w:rsidR="00D069F3">
        <w:t xml:space="preserve"> </w:t>
      </w:r>
      <w:r w:rsidRPr="006E1430">
        <w:t>be required to re-qualify every two years. Th</w:t>
      </w:r>
      <w:r>
        <w:t xml:space="preserve">is eligibility period may be extended from two years to five years </w:t>
      </w:r>
      <w:r w:rsidRPr="006E1430">
        <w:t>for certain customers whose circumstances are unlikely to change, for example seniors aged 65+ and c</w:t>
      </w:r>
      <w:r>
        <w:t>usto</w:t>
      </w:r>
      <w:r w:rsidRPr="006E1430">
        <w:t xml:space="preserve">mers receiving a CPP Disability Pension. </w:t>
      </w:r>
    </w:p>
    <w:p w14:paraId="3671397A" w14:textId="77777777" w:rsidR="00D069F3" w:rsidRDefault="00D069F3" w:rsidP="00C127D7"/>
    <w:p w14:paraId="30B6CE18" w14:textId="3A35B7E3" w:rsidR="00D069F3" w:rsidRDefault="00D069F3" w:rsidP="00C127D7">
      <w:r>
        <w:t>Customers will also need to reapply when they move or if circumstances change.</w:t>
      </w:r>
    </w:p>
    <w:p w14:paraId="35882EB2" w14:textId="224A68DC" w:rsidR="00005B7A" w:rsidRDefault="00005B7A">
      <w:pPr>
        <w:spacing w:line="240" w:lineRule="auto"/>
        <w:ind w:right="0"/>
        <w:rPr>
          <w:color w:val="000000"/>
          <w:lang w:val="en-CA" w:eastAsia="en-CA"/>
        </w:rPr>
      </w:pPr>
      <w:r>
        <w:br w:type="page"/>
      </w:r>
    </w:p>
    <w:p w14:paraId="712F6056" w14:textId="60D7876D" w:rsidR="00694526" w:rsidRPr="00987D7B" w:rsidRDefault="00D06189" w:rsidP="00987D7B">
      <w:pPr>
        <w:pStyle w:val="Heading3"/>
      </w:pPr>
      <w:r w:rsidRPr="00987D7B">
        <w:lastRenderedPageBreak/>
        <w:t>How does</w:t>
      </w:r>
      <w:bookmarkStart w:id="0" w:name="_GoBack"/>
      <w:bookmarkEnd w:id="0"/>
      <w:r w:rsidRPr="00987D7B">
        <w:t xml:space="preserve"> OESP work with</w:t>
      </w:r>
      <w:r w:rsidR="00DD023B" w:rsidRPr="00987D7B">
        <w:t xml:space="preserve"> </w:t>
      </w:r>
      <w:r w:rsidR="00D945B7" w:rsidRPr="00987D7B">
        <w:t>other low</w:t>
      </w:r>
      <w:r w:rsidR="00C91C02" w:rsidRPr="00987D7B">
        <w:t>-</w:t>
      </w:r>
      <w:r w:rsidR="00D945B7" w:rsidRPr="00987D7B">
        <w:t xml:space="preserve">income assistance </w:t>
      </w:r>
      <w:r w:rsidR="00DD023B" w:rsidRPr="00987D7B">
        <w:t>programs</w:t>
      </w:r>
      <w:r w:rsidR="00D945B7" w:rsidRPr="00987D7B">
        <w:t>?</w:t>
      </w:r>
    </w:p>
    <w:p w14:paraId="103EA665" w14:textId="323D9629" w:rsidR="00CA6540" w:rsidRDefault="00F755CC" w:rsidP="00FA0217">
      <w:r w:rsidRPr="006E1430">
        <w:t>C</w:t>
      </w:r>
      <w:r>
        <w:t>usto</w:t>
      </w:r>
      <w:r w:rsidRPr="006E1430">
        <w:t xml:space="preserve">mers </w:t>
      </w:r>
      <w:r w:rsidR="00DD023B" w:rsidRPr="006E1430">
        <w:t>who qualify for the OESP may also be eligible for the following</w:t>
      </w:r>
      <w:r w:rsidR="00D945B7">
        <w:t>:</w:t>
      </w:r>
      <w:r w:rsidR="00B13E61">
        <w:br/>
      </w:r>
    </w:p>
    <w:p w14:paraId="19E2FD72" w14:textId="2D08B317" w:rsidR="00DD023B" w:rsidRPr="006E1430" w:rsidRDefault="00DD023B" w:rsidP="00CA6540">
      <w:pPr>
        <w:pStyle w:val="ListParagraph"/>
        <w:numPr>
          <w:ilvl w:val="0"/>
          <w:numId w:val="18"/>
        </w:numPr>
      </w:pPr>
      <w:r w:rsidRPr="006E1430">
        <w:t>Special customer service rules for low-income c</w:t>
      </w:r>
      <w:r w:rsidR="002F7D7F">
        <w:t>usto</w:t>
      </w:r>
      <w:r w:rsidRPr="006E1430">
        <w:t>mers (e.g. waiver of security deposit)</w:t>
      </w:r>
    </w:p>
    <w:p w14:paraId="2398C347" w14:textId="3A0DC82F" w:rsidR="00B12346" w:rsidRPr="006E1430" w:rsidRDefault="00DD023B" w:rsidP="006E1430">
      <w:pPr>
        <w:pStyle w:val="ListParagraph"/>
        <w:numPr>
          <w:ilvl w:val="0"/>
          <w:numId w:val="18"/>
        </w:numPr>
      </w:pPr>
      <w:r w:rsidRPr="006E1430">
        <w:t>Low-Income Energy Assistance Program Emergency Financial Assistance (LEAP EFA) grants</w:t>
      </w:r>
      <w:r w:rsidR="00C32205" w:rsidRPr="006E1430">
        <w:t xml:space="preserve"> </w:t>
      </w:r>
    </w:p>
    <w:p w14:paraId="6A027553" w14:textId="6FBB0B4B" w:rsidR="003E41D2" w:rsidRPr="006E1430" w:rsidRDefault="003E41D2" w:rsidP="003E41D2">
      <w:pPr>
        <w:pStyle w:val="ListParagraph"/>
        <w:numPr>
          <w:ilvl w:val="0"/>
          <w:numId w:val="18"/>
        </w:numPr>
      </w:pPr>
      <w:r w:rsidRPr="006E1430">
        <w:t xml:space="preserve">Energy Efficiency improvements offered by participating local utilities under the </w:t>
      </w:r>
      <w:proofErr w:type="spellStart"/>
      <w:r w:rsidRPr="006E1430">
        <w:t>SaveOnEnergy</w:t>
      </w:r>
      <w:proofErr w:type="spellEnd"/>
      <w:r w:rsidRPr="006E1430">
        <w:t xml:space="preserve"> Home Assistance Program</w:t>
      </w:r>
    </w:p>
    <w:p w14:paraId="73AB40B7" w14:textId="3223D7AB" w:rsidR="00DD023B" w:rsidRDefault="00694526" w:rsidP="00B13E61">
      <w:pPr>
        <w:pStyle w:val="ListParagraph"/>
        <w:ind w:left="0"/>
      </w:pPr>
      <w:r w:rsidRPr="006E1430">
        <w:br/>
      </w:r>
      <w:r w:rsidR="00DD023B" w:rsidRPr="006E1430">
        <w:t>C</w:t>
      </w:r>
      <w:r w:rsidR="00471CFC">
        <w:t>usto</w:t>
      </w:r>
      <w:r w:rsidR="00DD023B" w:rsidRPr="006E1430">
        <w:t xml:space="preserve">mers can </w:t>
      </w:r>
      <w:r w:rsidR="006B7685" w:rsidRPr="006E1430">
        <w:t>apply for assistance f</w:t>
      </w:r>
      <w:r w:rsidR="0052253F">
        <w:t>rom</w:t>
      </w:r>
      <w:r w:rsidR="00DD023B" w:rsidRPr="006E1430">
        <w:t xml:space="preserve"> more </w:t>
      </w:r>
      <w:r w:rsidR="00C91C02">
        <w:t xml:space="preserve">than </w:t>
      </w:r>
      <w:r w:rsidR="00DD023B" w:rsidRPr="006E1430">
        <w:t>one program.</w:t>
      </w:r>
      <w:r w:rsidR="002F7D7F">
        <w:t xml:space="preserve"> To f</w:t>
      </w:r>
      <w:r w:rsidR="00276C2C">
        <w:t xml:space="preserve">ind out more about </w:t>
      </w:r>
      <w:r w:rsidR="002F7D7F">
        <w:t xml:space="preserve">other </w:t>
      </w:r>
      <w:r w:rsidR="00B13E61">
        <w:t xml:space="preserve">relief and </w:t>
      </w:r>
      <w:r w:rsidR="002F7D7F">
        <w:t>energy saving</w:t>
      </w:r>
      <w:r w:rsidR="008025E5">
        <w:t>s</w:t>
      </w:r>
      <w:r w:rsidR="002F7D7F">
        <w:t xml:space="preserve"> programs</w:t>
      </w:r>
      <w:r w:rsidR="00B13E61">
        <w:t>, please call 211 or visit the Ontario Energy Board website</w:t>
      </w:r>
      <w:r w:rsidR="00D069F3">
        <w:t xml:space="preserve"> (</w:t>
      </w:r>
      <w:hyperlink r:id="rId8" w:history="1">
        <w:r w:rsidR="00D069F3" w:rsidRPr="0093787E">
          <w:rPr>
            <w:rStyle w:val="Hyperlink"/>
          </w:rPr>
          <w:t>www.ontarioenergyboard.ca</w:t>
        </w:r>
      </w:hyperlink>
      <w:r w:rsidR="00D069F3">
        <w:t xml:space="preserve">) </w:t>
      </w:r>
      <w:r w:rsidR="00B13E61">
        <w:t xml:space="preserve">or the local electricity utility website.  </w:t>
      </w:r>
    </w:p>
    <w:p w14:paraId="57E40B79" w14:textId="77777777" w:rsidR="00D71103" w:rsidRDefault="00D71103">
      <w:pPr>
        <w:pStyle w:val="ListParagraph"/>
      </w:pPr>
    </w:p>
    <w:p w14:paraId="72CD5410" w14:textId="5B6986D5" w:rsidR="00D71103" w:rsidRPr="00987D7B" w:rsidRDefault="00D71103" w:rsidP="00987D7B">
      <w:pPr>
        <w:pStyle w:val="Heading3"/>
      </w:pPr>
      <w:r w:rsidRPr="00987D7B">
        <w:t xml:space="preserve">How is this program different from the Low Income Energy Assistance Program (LEAP EFA)? </w:t>
      </w:r>
    </w:p>
    <w:p w14:paraId="7A668D4A" w14:textId="1467B1F7" w:rsidR="00D71103" w:rsidRDefault="00D71103" w:rsidP="00D71103">
      <w:r>
        <w:t xml:space="preserve">There is an important difference between the OESP and the currently available LEAP. </w:t>
      </w:r>
      <w:r w:rsidR="00D069F3">
        <w:t xml:space="preserve"> </w:t>
      </w:r>
      <w:r>
        <w:t xml:space="preserve">The OESP is intended to provide ongoing monthly bill payment support to low-income customers. </w:t>
      </w:r>
    </w:p>
    <w:p w14:paraId="09D54DF2" w14:textId="77777777" w:rsidR="00D71103" w:rsidRDefault="00D71103" w:rsidP="00D71103"/>
    <w:p w14:paraId="1B30504E" w14:textId="0B2B02EB" w:rsidR="00D71103" w:rsidRDefault="00D71103" w:rsidP="00D71103">
      <w:r>
        <w:t>The LEAP offers one-time support for customers who are temporarily unable to make ends meet due to emergency or illness</w:t>
      </w:r>
      <w:r w:rsidR="00D069F3">
        <w:t xml:space="preserve"> and may have their electricity disconnected</w:t>
      </w:r>
      <w:r>
        <w:t>. In some circumstances, an applicant may qualify for both programs.</w:t>
      </w:r>
    </w:p>
    <w:p w14:paraId="1E093045" w14:textId="77777777" w:rsidR="00987D7B" w:rsidRDefault="00987D7B" w:rsidP="00D71103"/>
    <w:p w14:paraId="184E5A2A" w14:textId="77777777" w:rsidR="00005B7A" w:rsidRDefault="00005B7A" w:rsidP="00005B7A">
      <w:pPr>
        <w:pStyle w:val="Heading3"/>
      </w:pPr>
      <w:r w:rsidRPr="006E1430">
        <w:t xml:space="preserve">Where can </w:t>
      </w:r>
      <w:r>
        <w:t xml:space="preserve">First Nations </w:t>
      </w:r>
      <w:r w:rsidRPr="006E1430">
        <w:t>c</w:t>
      </w:r>
      <w:r>
        <w:t>usto</w:t>
      </w:r>
      <w:r w:rsidRPr="006E1430">
        <w:t xml:space="preserve">mers get more </w:t>
      </w:r>
      <w:r>
        <w:t>i</w:t>
      </w:r>
      <w:r w:rsidRPr="006E1430">
        <w:t xml:space="preserve">nformation about OESP? </w:t>
      </w:r>
    </w:p>
    <w:p w14:paraId="2E306F1F" w14:textId="6533EA26" w:rsidR="00005B7A" w:rsidRDefault="00005B7A" w:rsidP="00005B7A">
      <w:r>
        <w:t>ONWAA will be providing on-site support</w:t>
      </w:r>
      <w:r w:rsidR="003E5370">
        <w:t xml:space="preserve"> for First Nations</w:t>
      </w:r>
      <w:r>
        <w:t xml:space="preserve">. For more information, please contact </w:t>
      </w:r>
      <w:r w:rsidR="00396521">
        <w:t xml:space="preserve">ONWAA at </w:t>
      </w:r>
      <w:r w:rsidR="003E5370" w:rsidRPr="00D14A43">
        <w:rPr>
          <w:rFonts w:eastAsia="Calibri"/>
          <w:lang w:val="en-CA"/>
        </w:rPr>
        <w:t>1-844-885-3157 or email oesp@onwaa.com</w:t>
      </w:r>
      <w:r>
        <w:t>. Customers may also contact:</w:t>
      </w:r>
    </w:p>
    <w:p w14:paraId="1323CF42" w14:textId="77777777" w:rsidR="00005B7A" w:rsidRDefault="00005B7A" w:rsidP="00005B7A"/>
    <w:p w14:paraId="5FD2C608" w14:textId="7F8097AA" w:rsidR="00005B7A" w:rsidRDefault="00DE65C8" w:rsidP="00005B7A">
      <w:pPr>
        <w:pStyle w:val="ListParagraph"/>
        <w:numPr>
          <w:ilvl w:val="0"/>
          <w:numId w:val="22"/>
        </w:numPr>
      </w:pPr>
      <w:r>
        <w:t>Your community’s Band Office</w:t>
      </w:r>
      <w:r w:rsidR="00005B7A">
        <w:t xml:space="preserve"> and Friendship </w:t>
      </w:r>
      <w:proofErr w:type="spellStart"/>
      <w:r w:rsidR="00005B7A">
        <w:t>Centres</w:t>
      </w:r>
      <w:proofErr w:type="spellEnd"/>
      <w:r w:rsidR="00005B7A">
        <w:br/>
      </w:r>
    </w:p>
    <w:p w14:paraId="3403FD72" w14:textId="77777777" w:rsidR="00005B7A" w:rsidRDefault="00005B7A" w:rsidP="00005B7A">
      <w:pPr>
        <w:pStyle w:val="ListParagraph"/>
        <w:numPr>
          <w:ilvl w:val="0"/>
          <w:numId w:val="22"/>
        </w:numPr>
      </w:pPr>
      <w:r>
        <w:t>211</w:t>
      </w:r>
      <w:r>
        <w:br/>
      </w:r>
    </w:p>
    <w:p w14:paraId="181EBE68" w14:textId="77777777" w:rsidR="00005B7A" w:rsidRDefault="00005B7A" w:rsidP="00005B7A">
      <w:pPr>
        <w:pStyle w:val="ListParagraph"/>
        <w:numPr>
          <w:ilvl w:val="0"/>
          <w:numId w:val="22"/>
        </w:numPr>
        <w:rPr>
          <w:rFonts w:eastAsia="MS Gothic"/>
          <w:bCs/>
          <w:lang w:val="en-CA" w:eastAsia="en-CA"/>
        </w:rPr>
      </w:pPr>
      <w:r w:rsidRPr="00D71103">
        <w:rPr>
          <w:rFonts w:eastAsia="MS Gothic"/>
          <w:bCs/>
          <w:lang w:val="en-CA" w:eastAsia="en-CA"/>
        </w:rPr>
        <w:t xml:space="preserve">The OESP Contact Centre </w:t>
      </w:r>
      <w:r>
        <w:rPr>
          <w:rFonts w:eastAsia="MS Gothic"/>
          <w:bCs/>
          <w:lang w:val="en-CA" w:eastAsia="en-CA"/>
        </w:rPr>
        <w:t xml:space="preserve">at </w:t>
      </w:r>
      <w:r w:rsidRPr="00B04953">
        <w:rPr>
          <w:rFonts w:eastAsia="MS Gothic"/>
          <w:bCs/>
          <w:lang w:val="en-CA" w:eastAsia="en-CA"/>
        </w:rPr>
        <w:t>1-855-831-8151.  TTY: 1-800-855-1155</w:t>
      </w:r>
      <w:r>
        <w:rPr>
          <w:rFonts w:eastAsia="MS Gothic"/>
          <w:bCs/>
          <w:lang w:val="en-CA" w:eastAsia="en-CA"/>
        </w:rPr>
        <w:br/>
      </w:r>
      <w:r w:rsidRPr="00B04953">
        <w:rPr>
          <w:rFonts w:eastAsia="MS Gothic"/>
          <w:bCs/>
          <w:lang w:val="en-CA" w:eastAsia="en-CA"/>
        </w:rPr>
        <w:t xml:space="preserve"> or online at: OntarioElectricitySupport.ca</w:t>
      </w:r>
      <w:r>
        <w:rPr>
          <w:rFonts w:eastAsia="MS Gothic"/>
          <w:bCs/>
          <w:lang w:val="en-CA" w:eastAsia="en-CA"/>
        </w:rPr>
        <w:br/>
      </w:r>
    </w:p>
    <w:p w14:paraId="06CC6672" w14:textId="39A64AFB" w:rsidR="006E1430" w:rsidRPr="006E1430" w:rsidRDefault="00005B7A" w:rsidP="00005B7A">
      <w:pPr>
        <w:pStyle w:val="ListParagraph"/>
        <w:numPr>
          <w:ilvl w:val="0"/>
          <w:numId w:val="22"/>
        </w:numPr>
      </w:pPr>
      <w:r>
        <w:t>The Ontario Energy Board at 1-877-632-2727</w:t>
      </w:r>
    </w:p>
    <w:sectPr w:rsidR="006E1430" w:rsidRPr="006E1430" w:rsidSect="001667AB">
      <w:headerReference w:type="default" r:id="rId9"/>
      <w:footerReference w:type="default" r:id="rId10"/>
      <w:pgSz w:w="12240" w:h="15840"/>
      <w:pgMar w:top="1795" w:right="1296" w:bottom="1440" w:left="12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D60AD" w14:textId="77777777" w:rsidR="00A7689A" w:rsidRDefault="00A7689A" w:rsidP="003075D0">
      <w:r>
        <w:separator/>
      </w:r>
    </w:p>
  </w:endnote>
  <w:endnote w:type="continuationSeparator" w:id="0">
    <w:p w14:paraId="205E6E14" w14:textId="77777777" w:rsidR="00A7689A" w:rsidRDefault="00A7689A" w:rsidP="003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13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5151A" w14:textId="4C92CE9F" w:rsidR="00D71103" w:rsidRDefault="00D7110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B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105541" w14:textId="47667D60" w:rsidR="00D71103" w:rsidRDefault="00005B7A" w:rsidP="00005B7A">
    <w:pPr>
      <w:tabs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A38ED" w14:textId="77777777" w:rsidR="00A7689A" w:rsidRDefault="00A7689A" w:rsidP="003075D0">
      <w:r>
        <w:separator/>
      </w:r>
    </w:p>
  </w:footnote>
  <w:footnote w:type="continuationSeparator" w:id="0">
    <w:p w14:paraId="6236625F" w14:textId="77777777" w:rsidR="00A7689A" w:rsidRDefault="00A7689A" w:rsidP="0030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B45B" w14:textId="1D35478A" w:rsidR="00D71103" w:rsidRDefault="00D71103" w:rsidP="009D0FE1">
    <w:r>
      <w:rPr>
        <w:noProof/>
      </w:rPr>
      <w:drawing>
        <wp:anchor distT="0" distB="0" distL="114300" distR="114300" simplePos="0" relativeHeight="251657728" behindDoc="1" locked="0" layoutInCell="1" allowOverlap="1" wp14:anchorId="28E7A10C" wp14:editId="4238EEFD">
          <wp:simplePos x="0" y="0"/>
          <wp:positionH relativeFrom="column">
            <wp:posOffset>-819150</wp:posOffset>
          </wp:positionH>
          <wp:positionV relativeFrom="paragraph">
            <wp:posOffset>-461010</wp:posOffset>
          </wp:positionV>
          <wp:extent cx="7772400" cy="10058400"/>
          <wp:effectExtent l="0" t="0" r="0" b="0"/>
          <wp:wrapNone/>
          <wp:docPr id="1" name="Picture 1" descr="Gravity Clients:OEB:OEB - letterhead:MSWord:artwork:OEB-letterhead-bkgd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vity Clients:OEB:OEB - letterhead:MSWord:artwork:OEB-letterhead-bkgd-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FD5"/>
    <w:multiLevelType w:val="hybridMultilevel"/>
    <w:tmpl w:val="BFB6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551F"/>
    <w:multiLevelType w:val="hybridMultilevel"/>
    <w:tmpl w:val="A2B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259E"/>
    <w:multiLevelType w:val="hybridMultilevel"/>
    <w:tmpl w:val="8B0E0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21B"/>
    <w:multiLevelType w:val="hybridMultilevel"/>
    <w:tmpl w:val="DD78F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03083"/>
    <w:multiLevelType w:val="multilevel"/>
    <w:tmpl w:val="C2B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07BCC"/>
    <w:multiLevelType w:val="hybridMultilevel"/>
    <w:tmpl w:val="0BB229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C4A10"/>
    <w:multiLevelType w:val="multilevel"/>
    <w:tmpl w:val="3EAE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D3C99"/>
    <w:multiLevelType w:val="hybridMultilevel"/>
    <w:tmpl w:val="016E5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55865"/>
    <w:multiLevelType w:val="hybridMultilevel"/>
    <w:tmpl w:val="B76AF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866E2"/>
    <w:multiLevelType w:val="multilevel"/>
    <w:tmpl w:val="AE707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31A47"/>
    <w:multiLevelType w:val="hybridMultilevel"/>
    <w:tmpl w:val="AD2276F8"/>
    <w:lvl w:ilvl="0" w:tplc="DE76D9D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6D37"/>
    <w:multiLevelType w:val="hybridMultilevel"/>
    <w:tmpl w:val="0908EE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820AB6"/>
    <w:multiLevelType w:val="hybridMultilevel"/>
    <w:tmpl w:val="62FE3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95164"/>
    <w:multiLevelType w:val="hybridMultilevel"/>
    <w:tmpl w:val="6408F32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431565"/>
    <w:multiLevelType w:val="hybridMultilevel"/>
    <w:tmpl w:val="BDE81F90"/>
    <w:lvl w:ilvl="0" w:tplc="8578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37C19"/>
    <w:multiLevelType w:val="multilevel"/>
    <w:tmpl w:val="2B8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D7489D"/>
    <w:multiLevelType w:val="hybridMultilevel"/>
    <w:tmpl w:val="C8F4B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1F31"/>
    <w:multiLevelType w:val="hybridMultilevel"/>
    <w:tmpl w:val="B7641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8469F"/>
    <w:multiLevelType w:val="multilevel"/>
    <w:tmpl w:val="22D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5E30AF"/>
    <w:multiLevelType w:val="multilevel"/>
    <w:tmpl w:val="A67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811AF2"/>
    <w:multiLevelType w:val="multilevel"/>
    <w:tmpl w:val="F9A4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72157"/>
    <w:multiLevelType w:val="multilevel"/>
    <w:tmpl w:val="5A24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19"/>
  </w:num>
  <w:num w:numId="6">
    <w:abstractNumId w:val="21"/>
  </w:num>
  <w:num w:numId="7">
    <w:abstractNumId w:val="20"/>
  </w:num>
  <w:num w:numId="8">
    <w:abstractNumId w:val="4"/>
  </w:num>
  <w:num w:numId="9">
    <w:abstractNumId w:val="18"/>
  </w:num>
  <w:num w:numId="10">
    <w:abstractNumId w:val="6"/>
  </w:num>
  <w:num w:numId="11">
    <w:abstractNumId w:val="8"/>
  </w:num>
  <w:num w:numId="12">
    <w:abstractNumId w:val="5"/>
  </w:num>
  <w:num w:numId="13">
    <w:abstractNumId w:val="15"/>
  </w:num>
  <w:num w:numId="14">
    <w:abstractNumId w:val="17"/>
  </w:num>
  <w:num w:numId="15">
    <w:abstractNumId w:val="7"/>
  </w:num>
  <w:num w:numId="16">
    <w:abstractNumId w:val="13"/>
  </w:num>
  <w:num w:numId="17">
    <w:abstractNumId w:val="3"/>
  </w:num>
  <w:num w:numId="18">
    <w:abstractNumId w:val="16"/>
  </w:num>
  <w:num w:numId="19">
    <w:abstractNumId w:val="1"/>
  </w:num>
  <w:num w:numId="20">
    <w:abstractNumId w:val="11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4D"/>
    <w:rsid w:val="00005B7A"/>
    <w:rsid w:val="00012DC0"/>
    <w:rsid w:val="0001736A"/>
    <w:rsid w:val="00034337"/>
    <w:rsid w:val="00066EF1"/>
    <w:rsid w:val="000901C3"/>
    <w:rsid w:val="0009245A"/>
    <w:rsid w:val="000A5D57"/>
    <w:rsid w:val="000B285F"/>
    <w:rsid w:val="000B3646"/>
    <w:rsid w:val="000D6F63"/>
    <w:rsid w:val="000F2966"/>
    <w:rsid w:val="00161664"/>
    <w:rsid w:val="001667AB"/>
    <w:rsid w:val="001B19B4"/>
    <w:rsid w:val="001B2ED8"/>
    <w:rsid w:val="001C69E8"/>
    <w:rsid w:val="001F2970"/>
    <w:rsid w:val="002003C4"/>
    <w:rsid w:val="00265843"/>
    <w:rsid w:val="00276C2C"/>
    <w:rsid w:val="00280FAD"/>
    <w:rsid w:val="00290AB2"/>
    <w:rsid w:val="002A6796"/>
    <w:rsid w:val="002C08F1"/>
    <w:rsid w:val="002E1CC5"/>
    <w:rsid w:val="002F2A0A"/>
    <w:rsid w:val="002F7D7F"/>
    <w:rsid w:val="00303443"/>
    <w:rsid w:val="003075D0"/>
    <w:rsid w:val="003168A7"/>
    <w:rsid w:val="00320444"/>
    <w:rsid w:val="00327835"/>
    <w:rsid w:val="003469B5"/>
    <w:rsid w:val="00346F1A"/>
    <w:rsid w:val="003512D3"/>
    <w:rsid w:val="00353BBE"/>
    <w:rsid w:val="00357802"/>
    <w:rsid w:val="00361818"/>
    <w:rsid w:val="00365DCE"/>
    <w:rsid w:val="00381D5E"/>
    <w:rsid w:val="00391F99"/>
    <w:rsid w:val="00394CDB"/>
    <w:rsid w:val="00396521"/>
    <w:rsid w:val="003A6496"/>
    <w:rsid w:val="003B2EB9"/>
    <w:rsid w:val="003E08E0"/>
    <w:rsid w:val="003E41D2"/>
    <w:rsid w:val="003E5370"/>
    <w:rsid w:val="003F58A3"/>
    <w:rsid w:val="00435B15"/>
    <w:rsid w:val="00471BC7"/>
    <w:rsid w:val="00471CFC"/>
    <w:rsid w:val="00482B71"/>
    <w:rsid w:val="00486C9B"/>
    <w:rsid w:val="004A0741"/>
    <w:rsid w:val="004A2297"/>
    <w:rsid w:val="004A2572"/>
    <w:rsid w:val="004C26C4"/>
    <w:rsid w:val="004F2727"/>
    <w:rsid w:val="004F4D12"/>
    <w:rsid w:val="00503D22"/>
    <w:rsid w:val="00515946"/>
    <w:rsid w:val="0052151E"/>
    <w:rsid w:val="0052253F"/>
    <w:rsid w:val="00531D95"/>
    <w:rsid w:val="00566630"/>
    <w:rsid w:val="005876C7"/>
    <w:rsid w:val="005B4F2A"/>
    <w:rsid w:val="005B70D0"/>
    <w:rsid w:val="005C58E6"/>
    <w:rsid w:val="005F6B2D"/>
    <w:rsid w:val="0060624B"/>
    <w:rsid w:val="00611A67"/>
    <w:rsid w:val="00613D79"/>
    <w:rsid w:val="00616899"/>
    <w:rsid w:val="006666AC"/>
    <w:rsid w:val="00694526"/>
    <w:rsid w:val="006B7685"/>
    <w:rsid w:val="006E1430"/>
    <w:rsid w:val="006F024D"/>
    <w:rsid w:val="00747650"/>
    <w:rsid w:val="007663F6"/>
    <w:rsid w:val="007D5AEA"/>
    <w:rsid w:val="007E546B"/>
    <w:rsid w:val="007E66FF"/>
    <w:rsid w:val="008025E5"/>
    <w:rsid w:val="0080496A"/>
    <w:rsid w:val="008149E8"/>
    <w:rsid w:val="00823CBD"/>
    <w:rsid w:val="00835506"/>
    <w:rsid w:val="00841B8B"/>
    <w:rsid w:val="00850628"/>
    <w:rsid w:val="008547F2"/>
    <w:rsid w:val="0085497A"/>
    <w:rsid w:val="0086409A"/>
    <w:rsid w:val="00871F9C"/>
    <w:rsid w:val="00873585"/>
    <w:rsid w:val="008A0A81"/>
    <w:rsid w:val="008B10DD"/>
    <w:rsid w:val="008B1AC1"/>
    <w:rsid w:val="008C2AE3"/>
    <w:rsid w:val="008D224F"/>
    <w:rsid w:val="008E693D"/>
    <w:rsid w:val="008F01E8"/>
    <w:rsid w:val="008F6C8E"/>
    <w:rsid w:val="009248CE"/>
    <w:rsid w:val="00950919"/>
    <w:rsid w:val="00965902"/>
    <w:rsid w:val="00987228"/>
    <w:rsid w:val="00987D7B"/>
    <w:rsid w:val="0099062C"/>
    <w:rsid w:val="009D0FE1"/>
    <w:rsid w:val="009D69B9"/>
    <w:rsid w:val="009E1E38"/>
    <w:rsid w:val="009E3244"/>
    <w:rsid w:val="009E496C"/>
    <w:rsid w:val="00A16DEA"/>
    <w:rsid w:val="00A20729"/>
    <w:rsid w:val="00A26F42"/>
    <w:rsid w:val="00A46708"/>
    <w:rsid w:val="00A525C4"/>
    <w:rsid w:val="00A665F5"/>
    <w:rsid w:val="00A753E3"/>
    <w:rsid w:val="00A7689A"/>
    <w:rsid w:val="00A85101"/>
    <w:rsid w:val="00AD3FA7"/>
    <w:rsid w:val="00B04953"/>
    <w:rsid w:val="00B119A7"/>
    <w:rsid w:val="00B12346"/>
    <w:rsid w:val="00B13E61"/>
    <w:rsid w:val="00B34B0A"/>
    <w:rsid w:val="00B555AB"/>
    <w:rsid w:val="00B7095A"/>
    <w:rsid w:val="00B76E96"/>
    <w:rsid w:val="00B8113B"/>
    <w:rsid w:val="00BA0D91"/>
    <w:rsid w:val="00BA5ED8"/>
    <w:rsid w:val="00BA7864"/>
    <w:rsid w:val="00C07A2A"/>
    <w:rsid w:val="00C11642"/>
    <w:rsid w:val="00C127D7"/>
    <w:rsid w:val="00C20132"/>
    <w:rsid w:val="00C2180C"/>
    <w:rsid w:val="00C2636A"/>
    <w:rsid w:val="00C32205"/>
    <w:rsid w:val="00C34A03"/>
    <w:rsid w:val="00C52A27"/>
    <w:rsid w:val="00C54315"/>
    <w:rsid w:val="00C54B7F"/>
    <w:rsid w:val="00C61CF9"/>
    <w:rsid w:val="00C6685D"/>
    <w:rsid w:val="00C7074C"/>
    <w:rsid w:val="00C821E5"/>
    <w:rsid w:val="00C84D8B"/>
    <w:rsid w:val="00C91C02"/>
    <w:rsid w:val="00CA6540"/>
    <w:rsid w:val="00CB7BAD"/>
    <w:rsid w:val="00CF537E"/>
    <w:rsid w:val="00D05F89"/>
    <w:rsid w:val="00D06189"/>
    <w:rsid w:val="00D067BF"/>
    <w:rsid w:val="00D069F3"/>
    <w:rsid w:val="00D353B9"/>
    <w:rsid w:val="00D71103"/>
    <w:rsid w:val="00D732E0"/>
    <w:rsid w:val="00D91CF6"/>
    <w:rsid w:val="00D945B7"/>
    <w:rsid w:val="00DC55F6"/>
    <w:rsid w:val="00DD023B"/>
    <w:rsid w:val="00DD029D"/>
    <w:rsid w:val="00DE65C8"/>
    <w:rsid w:val="00DF66F4"/>
    <w:rsid w:val="00E06C2C"/>
    <w:rsid w:val="00E10DE3"/>
    <w:rsid w:val="00E116D1"/>
    <w:rsid w:val="00E15A0E"/>
    <w:rsid w:val="00E338DF"/>
    <w:rsid w:val="00E62C1E"/>
    <w:rsid w:val="00E675C4"/>
    <w:rsid w:val="00E728E6"/>
    <w:rsid w:val="00E76B45"/>
    <w:rsid w:val="00E777C6"/>
    <w:rsid w:val="00E87F2F"/>
    <w:rsid w:val="00E97DB4"/>
    <w:rsid w:val="00ED2770"/>
    <w:rsid w:val="00EF3849"/>
    <w:rsid w:val="00F02ACC"/>
    <w:rsid w:val="00F13248"/>
    <w:rsid w:val="00F555FF"/>
    <w:rsid w:val="00F6269E"/>
    <w:rsid w:val="00F72F49"/>
    <w:rsid w:val="00F745EB"/>
    <w:rsid w:val="00F755CC"/>
    <w:rsid w:val="00F83E3F"/>
    <w:rsid w:val="00F93405"/>
    <w:rsid w:val="00F95C5A"/>
    <w:rsid w:val="00FA0217"/>
    <w:rsid w:val="00FB24B6"/>
    <w:rsid w:val="00FE100D"/>
    <w:rsid w:val="00FE6578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7E7B6"/>
  <w15:docId w15:val="{8BE48701-E299-4CA9-A8F4-3E1D002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B4"/>
    <w:pPr>
      <w:spacing w:line="320" w:lineRule="exact"/>
      <w:ind w:right="11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C2C"/>
    <w:pPr>
      <w:spacing w:after="120"/>
      <w:outlineLvl w:val="0"/>
    </w:pPr>
    <w:rPr>
      <w:color w:val="0D557D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FE1"/>
    <w:pPr>
      <w:spacing w:after="60"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FE1"/>
    <w:pPr>
      <w:keepNext/>
      <w:keepLines/>
      <w:spacing w:before="200"/>
      <w:outlineLvl w:val="2"/>
    </w:pPr>
    <w:rPr>
      <w:rFonts w:eastAsia="MS Gothic" w:cs="Times New Roman"/>
      <w:b/>
      <w:bCs/>
      <w:color w:val="036FA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0FE1"/>
    <w:pPr>
      <w:keepNext/>
      <w:keepLines/>
      <w:spacing w:before="200"/>
      <w:outlineLvl w:val="3"/>
    </w:pPr>
    <w:rPr>
      <w:rFonts w:eastAsia="MS Gothic" w:cs="Times New Roman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7D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8D224F"/>
    <w:pPr>
      <w:numPr>
        <w:numId w:val="4"/>
      </w:numPr>
    </w:pPr>
  </w:style>
  <w:style w:type="character" w:customStyle="1" w:styleId="Heading2Char">
    <w:name w:val="Heading 2 Char"/>
    <w:link w:val="Heading2"/>
    <w:uiPriority w:val="9"/>
    <w:rsid w:val="009D0FE1"/>
    <w:rPr>
      <w:rFonts w:ascii="Arial" w:hAnsi="Arial" w:cs="Arial"/>
      <w:b/>
      <w:color w:val="000000"/>
      <w:sz w:val="28"/>
    </w:rPr>
  </w:style>
  <w:style w:type="table" w:customStyle="1" w:styleId="LHINC-horizontalchart">
    <w:name w:val="LHINC - horizontal chart"/>
    <w:basedOn w:val="TableNormal"/>
    <w:uiPriority w:val="99"/>
    <w:rsid w:val="00C6685D"/>
    <w:tblPr/>
  </w:style>
  <w:style w:type="character" w:customStyle="1" w:styleId="Heading3Char">
    <w:name w:val="Heading 3 Char"/>
    <w:link w:val="Heading3"/>
    <w:uiPriority w:val="9"/>
    <w:rsid w:val="009D0FE1"/>
    <w:rPr>
      <w:rFonts w:ascii="Arial" w:eastAsia="MS Gothic" w:hAnsi="Arial" w:cs="Times New Roman"/>
      <w:b/>
      <w:bCs/>
      <w:color w:val="036FA1"/>
      <w:sz w:val="26"/>
    </w:rPr>
  </w:style>
  <w:style w:type="paragraph" w:styleId="Header">
    <w:name w:val="header"/>
    <w:basedOn w:val="Normal"/>
    <w:link w:val="HeaderChar"/>
    <w:uiPriority w:val="99"/>
    <w:unhideWhenUsed/>
    <w:rsid w:val="003075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5D0"/>
  </w:style>
  <w:style w:type="paragraph" w:styleId="Footer">
    <w:name w:val="footer"/>
    <w:basedOn w:val="Normal"/>
    <w:link w:val="FooterChar"/>
    <w:uiPriority w:val="99"/>
    <w:unhideWhenUsed/>
    <w:rsid w:val="003075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D0"/>
  </w:style>
  <w:style w:type="paragraph" w:styleId="BalloonText">
    <w:name w:val="Balloon Text"/>
    <w:basedOn w:val="Normal"/>
    <w:link w:val="BalloonTextChar"/>
    <w:uiPriority w:val="99"/>
    <w:semiHidden/>
    <w:unhideWhenUsed/>
    <w:rsid w:val="003075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75D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E06C2C"/>
    <w:rPr>
      <w:rFonts w:ascii="Arial" w:hAnsi="Arial" w:cs="Arial"/>
      <w:color w:val="0D557D"/>
      <w:sz w:val="36"/>
      <w:szCs w:val="32"/>
    </w:rPr>
  </w:style>
  <w:style w:type="paragraph" w:styleId="ListParagraph">
    <w:name w:val="List Paragraph"/>
    <w:basedOn w:val="Normal"/>
    <w:uiPriority w:val="34"/>
    <w:qFormat/>
    <w:rsid w:val="008D224F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9D0FE1"/>
    <w:rPr>
      <w:rFonts w:ascii="Arial" w:eastAsia="MS Gothic" w:hAnsi="Arial" w:cs="Times New Roman"/>
      <w:b/>
      <w:bCs/>
      <w:iCs/>
      <w:color w:val="000000"/>
    </w:rPr>
  </w:style>
  <w:style w:type="character" w:customStyle="1" w:styleId="NormalItalics">
    <w:name w:val="Normal – Italics"/>
    <w:uiPriority w:val="1"/>
    <w:qFormat/>
    <w:rsid w:val="0080496A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823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CBD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CBD"/>
    <w:rPr>
      <w:rFonts w:ascii="Arial" w:hAnsi="Arial" w:cs="Arial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61664"/>
    <w:pPr>
      <w:spacing w:after="192" w:line="384" w:lineRule="atLeast"/>
      <w:ind w:right="0"/>
    </w:pPr>
    <w:rPr>
      <w:rFonts w:ascii="Open Sans" w:eastAsia="Times New Roman" w:hAnsi="Open Sans" w:cs="Times New Roman"/>
      <w:color w:val="464646"/>
      <w:sz w:val="34"/>
      <w:szCs w:val="34"/>
      <w:lang w:val="en-CA" w:eastAsia="en-CA"/>
    </w:rPr>
  </w:style>
  <w:style w:type="paragraph" w:customStyle="1" w:styleId="Default">
    <w:name w:val="Default"/>
    <w:rsid w:val="00B709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F3849"/>
    <w:rPr>
      <w:b/>
      <w:bCs/>
    </w:rPr>
  </w:style>
  <w:style w:type="paragraph" w:styleId="Revision">
    <w:name w:val="Revision"/>
    <w:hidden/>
    <w:uiPriority w:val="99"/>
    <w:semiHidden/>
    <w:rsid w:val="004A0741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71CF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87D7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energyboard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_ADMIN\Downloads\OEB-OSEP-Letterhead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1CA4-BAD4-4303-AC9E-4027FCEB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OEB-OSEP-Letterhead-NEW.dotx</Template>
  <TotalTime>19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Gravity Inc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8</cp:revision>
  <cp:lastPrinted>2015-10-30T18:35:00Z</cp:lastPrinted>
  <dcterms:created xsi:type="dcterms:W3CDTF">2015-10-20T14:20:00Z</dcterms:created>
  <dcterms:modified xsi:type="dcterms:W3CDTF">2015-10-30T18:44:00Z</dcterms:modified>
</cp:coreProperties>
</file>